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4A84C" w14:textId="77777777" w:rsidR="00F03464" w:rsidRDefault="00C331D2">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09A4A84D" w14:textId="77777777" w:rsidR="00F03464" w:rsidRDefault="00C331D2">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9A4A84E" w14:textId="77777777" w:rsidR="00F03464" w:rsidRDefault="00C331D2">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82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F03464" w14:paraId="09A4A851" w14:textId="77777777">
        <w:tc>
          <w:tcPr>
            <w:tcW w:w="2741" w:type="dxa"/>
          </w:tcPr>
          <w:p w14:paraId="09A4A84F"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14:paraId="09A4A850"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F03464" w14:paraId="09A4A854" w14:textId="77777777">
        <w:tc>
          <w:tcPr>
            <w:tcW w:w="2741" w:type="dxa"/>
          </w:tcPr>
          <w:p w14:paraId="09A4A852"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14:paraId="09A4A853"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F03464" w14:paraId="09A4A857" w14:textId="77777777">
        <w:tc>
          <w:tcPr>
            <w:tcW w:w="2741" w:type="dxa"/>
          </w:tcPr>
          <w:p w14:paraId="09A4A855"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14:paraId="09A4A856"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F03464" w14:paraId="09A4A85A" w14:textId="77777777">
        <w:tc>
          <w:tcPr>
            <w:tcW w:w="2741" w:type="dxa"/>
          </w:tcPr>
          <w:p w14:paraId="09A4A858"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“Commercial off the shelf Software” or “COTS Softwa</w:t>
            </w:r>
            <w:r>
              <w:rPr>
                <w:rFonts w:ascii="Arial" w:eastAsia="Arial" w:hAnsi="Arial" w:cs="Arial"/>
                <w:color w:val="000000"/>
                <w:sz w:val="24"/>
                <w:szCs w:val="24"/>
              </w:rPr>
              <w:t>re”</w:t>
            </w:r>
          </w:p>
        </w:tc>
        <w:tc>
          <w:tcPr>
            <w:tcW w:w="5460" w:type="dxa"/>
          </w:tcPr>
          <w:p w14:paraId="09A4A859"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F03464" w14:paraId="09A4A85F" w14:textId="77777777">
        <w:tc>
          <w:tcPr>
            <w:tcW w:w="2741" w:type="dxa"/>
          </w:tcPr>
          <w:p w14:paraId="09A4A85B"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14:paraId="09A4A85C" w14:textId="77777777" w:rsidR="00F03464" w:rsidRDefault="00C331D2">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9A4A85D" w14:textId="77777777" w:rsidR="00F03464" w:rsidRDefault="00C331D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09A4A85E" w14:textId="77777777" w:rsidR="00F03464" w:rsidRDefault="00C331D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F03464" w14:paraId="09A4A863" w14:textId="77777777">
        <w:tc>
          <w:tcPr>
            <w:tcW w:w="2741" w:type="dxa"/>
          </w:tcPr>
          <w:p w14:paraId="09A4A860" w14:textId="77777777" w:rsidR="00F03464" w:rsidRDefault="00F0346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09A4A861" w14:textId="77777777" w:rsidR="00F03464" w:rsidRDefault="00C331D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w:t>
            </w:r>
            <w:r>
              <w:rPr>
                <w:rFonts w:ascii="Arial" w:eastAsia="Arial" w:hAnsi="Arial" w:cs="Arial"/>
                <w:color w:val="000000"/>
                <w:sz w:val="24"/>
                <w:szCs w:val="24"/>
              </w:rPr>
              <w:lastRenderedPageBreak/>
              <w:t>prevents the relevant Del</w:t>
            </w:r>
            <w:r>
              <w:rPr>
                <w:rFonts w:ascii="Arial" w:eastAsia="Arial" w:hAnsi="Arial" w:cs="Arial"/>
                <w:color w:val="000000"/>
                <w:sz w:val="24"/>
                <w:szCs w:val="24"/>
              </w:rPr>
              <w:t>iverable from passing any Test required under this Call Off Contract; or</w:t>
            </w:r>
          </w:p>
          <w:p w14:paraId="09A4A862" w14:textId="77777777" w:rsidR="00F03464" w:rsidRDefault="00C331D2">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F03464" w14:paraId="09A4A866" w14:textId="77777777">
        <w:tc>
          <w:tcPr>
            <w:tcW w:w="2741" w:type="dxa"/>
          </w:tcPr>
          <w:p w14:paraId="09A4A864"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Pr>
          <w:p w14:paraId="09A4A865"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F03464" w14:paraId="09A4A869" w14:textId="77777777">
        <w:tc>
          <w:tcPr>
            <w:tcW w:w="2741" w:type="dxa"/>
          </w:tcPr>
          <w:p w14:paraId="09A4A867"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14:paraId="09A4A868"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w:t>
            </w:r>
            <w:r>
              <w:rPr>
                <w:rFonts w:ascii="Arial" w:eastAsia="Arial" w:hAnsi="Arial" w:cs="Arial"/>
                <w:color w:val="000000"/>
                <w:sz w:val="24"/>
                <w:szCs w:val="24"/>
              </w:rPr>
              <w:t>ystem and the Supplier System;</w:t>
            </w:r>
          </w:p>
        </w:tc>
      </w:tr>
      <w:tr w:rsidR="00F03464" w14:paraId="09A4A86C" w14:textId="77777777">
        <w:tc>
          <w:tcPr>
            <w:tcW w:w="2741" w:type="dxa"/>
          </w:tcPr>
          <w:p w14:paraId="09A4A86A"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14:paraId="09A4A86B"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F03464" w14:paraId="09A4A86F" w14:textId="77777777">
        <w:tc>
          <w:tcPr>
            <w:tcW w:w="2741" w:type="dxa"/>
          </w:tcPr>
          <w:p w14:paraId="09A4A86D"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w:t>
            </w:r>
            <w:r>
              <w:rPr>
                <w:rFonts w:ascii="Arial" w:eastAsia="Arial" w:hAnsi="Arial" w:cs="Arial"/>
                <w:color w:val="000000"/>
                <w:sz w:val="24"/>
                <w:szCs w:val="24"/>
              </w:rPr>
              <w:t>tenance Schedule"</w:t>
            </w:r>
          </w:p>
        </w:tc>
        <w:tc>
          <w:tcPr>
            <w:tcW w:w="5460" w:type="dxa"/>
          </w:tcPr>
          <w:p w14:paraId="09A4A86E"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F03464" w14:paraId="09A4A872" w14:textId="77777777">
        <w:tc>
          <w:tcPr>
            <w:tcW w:w="2741" w:type="dxa"/>
          </w:tcPr>
          <w:p w14:paraId="09A4A870"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14:paraId="09A4A871"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w:t>
            </w:r>
            <w:r>
              <w:rPr>
                <w:rFonts w:ascii="Arial" w:eastAsia="Arial" w:hAnsi="Arial" w:cs="Arial"/>
                <w:color w:val="000000"/>
                <w:sz w:val="24"/>
                <w:szCs w:val="24"/>
              </w:rPr>
              <w:t>le code or application software macros, whether or not its operation is immediate or delayed, and whether the malicious software is introduced wilfully, negligently or without knowledge of its existence;</w:t>
            </w:r>
          </w:p>
        </w:tc>
      </w:tr>
      <w:tr w:rsidR="00F03464" w14:paraId="09A4A875" w14:textId="77777777">
        <w:tc>
          <w:tcPr>
            <w:tcW w:w="2741" w:type="dxa"/>
          </w:tcPr>
          <w:p w14:paraId="09A4A873"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Pr>
          <w:p w14:paraId="09A4A874"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 item produced primarily to extend, alter or improve the Software and/or any Deliverable by providing additional functionality or performance enhancement (whether or not defects in the Software and/or Deliverable are </w:t>
            </w:r>
            <w:r>
              <w:rPr>
                <w:rFonts w:ascii="Arial" w:eastAsia="Arial" w:hAnsi="Arial" w:cs="Arial"/>
                <w:color w:val="000000"/>
                <w:sz w:val="24"/>
                <w:szCs w:val="24"/>
              </w:rPr>
              <w:lastRenderedPageBreak/>
              <w:t>also corrected) while still retaining</w:t>
            </w:r>
            <w:r>
              <w:rPr>
                <w:rFonts w:ascii="Arial" w:eastAsia="Arial" w:hAnsi="Arial" w:cs="Arial"/>
                <w:color w:val="000000"/>
                <w:sz w:val="24"/>
                <w:szCs w:val="24"/>
              </w:rPr>
              <w:t xml:space="preserve"> the original designated purpose of that item;</w:t>
            </w:r>
          </w:p>
        </w:tc>
      </w:tr>
      <w:tr w:rsidR="00F03464" w14:paraId="09A4A878" w14:textId="77777777">
        <w:tc>
          <w:tcPr>
            <w:tcW w:w="2741" w:type="dxa"/>
          </w:tcPr>
          <w:p w14:paraId="09A4A876"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"Open Source Software"</w:t>
            </w:r>
          </w:p>
        </w:tc>
        <w:tc>
          <w:tcPr>
            <w:tcW w:w="5460" w:type="dxa"/>
          </w:tcPr>
          <w:p w14:paraId="09A4A877"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w:t>
            </w:r>
            <w:r>
              <w:rPr>
                <w:rFonts w:ascii="Arial" w:eastAsia="Arial" w:hAnsi="Arial" w:cs="Arial"/>
                <w:color w:val="000000"/>
                <w:sz w:val="24"/>
                <w:szCs w:val="24"/>
              </w:rPr>
              <w:t>use, study, change and distribute the software to any and all persons and for any and all purposes free of charge;</w:t>
            </w:r>
          </w:p>
        </w:tc>
      </w:tr>
      <w:tr w:rsidR="00F03464" w14:paraId="09A4A87E" w14:textId="77777777">
        <w:tc>
          <w:tcPr>
            <w:tcW w:w="2741" w:type="dxa"/>
          </w:tcPr>
          <w:p w14:paraId="09A4A879"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14:paraId="09A4A87A"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means the Buyer System and 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w:t>
            </w:r>
            <w:r>
              <w:rPr>
                <w:rFonts w:ascii="Arial" w:eastAsia="Arial" w:hAnsi="Arial" w:cs="Arial"/>
                <w:color w:val="000000"/>
                <w:sz w:val="24"/>
                <w:szCs w:val="24"/>
              </w:rPr>
              <w:t>es) from, to or at which:</w:t>
            </w:r>
          </w:p>
          <w:p w14:paraId="09A4A87B" w14:textId="77777777" w:rsidR="00F03464" w:rsidRDefault="00C331D2">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09A4A87C" w14:textId="77777777" w:rsidR="00F03464" w:rsidRDefault="00C331D2">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09A4A87D" w14:textId="77777777" w:rsidR="00F03464" w:rsidRDefault="00C331D2">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F03464" w14:paraId="09A4A881" w14:textId="77777777">
        <w:tc>
          <w:tcPr>
            <w:tcW w:w="2741" w:type="dxa"/>
          </w:tcPr>
          <w:p w14:paraId="09A4A87F"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14:paraId="09A4A880"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F03464" w14:paraId="09A4A884" w14:textId="77777777">
        <w:tc>
          <w:tcPr>
            <w:tcW w:w="2741" w:type="dxa"/>
          </w:tcPr>
          <w:p w14:paraId="09A4A882"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14:paraId="09A4A883"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F03464" w14:paraId="09A4A887" w14:textId="77777777">
        <w:tc>
          <w:tcPr>
            <w:tcW w:w="2741" w:type="dxa"/>
          </w:tcPr>
          <w:p w14:paraId="09A4A885"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14:paraId="09A4A886"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w:t>
            </w:r>
            <w:r>
              <w:rPr>
                <w:rFonts w:ascii="Arial" w:eastAsia="Arial" w:hAnsi="Arial" w:cs="Arial"/>
                <w:color w:val="000000"/>
                <w:sz w:val="24"/>
                <w:szCs w:val="24"/>
              </w:rPr>
              <w:t>dule shall also include any premises from, to or at which physical interface with the Buyer System takes place;</w:t>
            </w:r>
          </w:p>
        </w:tc>
      </w:tr>
      <w:tr w:rsidR="00F03464" w14:paraId="09A4A88A" w14:textId="77777777">
        <w:tc>
          <w:tcPr>
            <w:tcW w:w="2741" w:type="dxa"/>
          </w:tcPr>
          <w:p w14:paraId="09A4A888"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14:paraId="09A4A889"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w:t>
            </w:r>
          </w:p>
        </w:tc>
      </w:tr>
      <w:tr w:rsidR="00F03464" w14:paraId="09A4A88D" w14:textId="77777777">
        <w:tc>
          <w:tcPr>
            <w:tcW w:w="2741" w:type="dxa"/>
          </w:tcPr>
          <w:p w14:paraId="09A4A88B"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14:paraId="09A4A88C"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F03464" w14:paraId="09A4A890" w14:textId="77777777">
        <w:tc>
          <w:tcPr>
            <w:tcW w:w="2741" w:type="dxa"/>
          </w:tcPr>
          <w:p w14:paraId="09A4A88E"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Pr>
          <w:p w14:paraId="09A4A88F"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programs and/or data in eye-readable form and in such form that it can be compiled or interpreted into equivalent binary code together with all related design comments, flow charts, technical information </w:t>
            </w:r>
            <w:r>
              <w:rPr>
                <w:rFonts w:ascii="Arial" w:eastAsia="Arial" w:hAnsi="Arial" w:cs="Arial"/>
                <w:color w:val="000000"/>
                <w:sz w:val="24"/>
                <w:szCs w:val="24"/>
              </w:rPr>
              <w:lastRenderedPageBreak/>
              <w:t>and documentation necessary for the use, re</w:t>
            </w:r>
            <w:r>
              <w:rPr>
                <w:rFonts w:ascii="Arial" w:eastAsia="Arial" w:hAnsi="Arial" w:cs="Arial"/>
                <w:color w:val="000000"/>
                <w:sz w:val="24"/>
                <w:szCs w:val="24"/>
              </w:rPr>
              <w:t>production, maintenance, modification and enhancement of such software;</w:t>
            </w:r>
          </w:p>
        </w:tc>
      </w:tr>
      <w:tr w:rsidR="00F03464" w14:paraId="09A4A893" w14:textId="77777777">
        <w:tc>
          <w:tcPr>
            <w:tcW w:w="2741" w:type="dxa"/>
          </w:tcPr>
          <w:p w14:paraId="09A4A891"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460" w:type="dxa"/>
          </w:tcPr>
          <w:p w14:paraId="09A4A892"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Supplier (or</w:t>
            </w:r>
            <w:r>
              <w:rPr>
                <w:rFonts w:ascii="Arial" w:eastAsia="Arial" w:hAnsi="Arial" w:cs="Arial"/>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color w:val="000000"/>
                <w:sz w:val="24"/>
                <w:szCs w:val="24"/>
              </w:rPr>
              <w:t xml:space="preserve"> IPR;</w:t>
            </w:r>
          </w:p>
        </w:tc>
      </w:tr>
      <w:tr w:rsidR="00F03464" w14:paraId="09A4A896" w14:textId="77777777">
        <w:tc>
          <w:tcPr>
            <w:tcW w:w="2741" w:type="dxa"/>
          </w:tcPr>
          <w:p w14:paraId="09A4A894" w14:textId="77777777" w:rsidR="00F03464" w:rsidRDefault="00F0346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09A4A895" w14:textId="77777777" w:rsidR="00F03464" w:rsidRDefault="00F0346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F03464" w14:paraId="09A4A899" w14:textId="77777777">
        <w:tc>
          <w:tcPr>
            <w:tcW w:w="2741" w:type="dxa"/>
          </w:tcPr>
          <w:p w14:paraId="09A4A897"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14:paraId="09A4A898" w14:textId="77777777" w:rsidR="00F03464" w:rsidRDefault="00C331D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Pr>
                <w:rFonts w:ascii="Arial" w:eastAsia="Arial" w:hAnsi="Arial" w:cs="Arial"/>
                <w:color w:val="000000"/>
                <w:sz w:val="24"/>
                <w:szCs w:val="24"/>
              </w:rPr>
              <w:t>and related cabling (but excluding the Buyer System);</w:t>
            </w:r>
          </w:p>
        </w:tc>
      </w:tr>
      <w:tr w:rsidR="00F03464" w14:paraId="09A4A89C" w14:textId="77777777">
        <w:tc>
          <w:tcPr>
            <w:tcW w:w="2741" w:type="dxa"/>
          </w:tcPr>
          <w:p w14:paraId="09A4A89A" w14:textId="77777777" w:rsidR="00F03464" w:rsidRDefault="00F0346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09A4A89B" w14:textId="77777777" w:rsidR="00F03464" w:rsidRDefault="00F0346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09A4A89D" w14:textId="77777777" w:rsidR="00F03464" w:rsidRDefault="00C331D2">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9A4A89E" w14:textId="77777777" w:rsidR="00F03464" w:rsidRDefault="00C331D2">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09A4A89F" w14:textId="77777777" w:rsidR="00F03464" w:rsidRDefault="00C331D2">
      <w:pPr>
        <w:numPr>
          <w:ilvl w:val="0"/>
          <w:numId w:val="2"/>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09A4A8A0" w14:textId="77777777" w:rsidR="00F03464" w:rsidRDefault="00C331D2">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09A4A8A1"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suitability of the existing and (to the extent that it is defined or reasonably foreseeable at the</w:t>
      </w:r>
      <w:r>
        <w:rPr>
          <w:rFonts w:ascii="Arial" w:eastAsia="Arial" w:hAnsi="Arial" w:cs="Arial"/>
          <w:color w:val="000000"/>
          <w:sz w:val="24"/>
          <w:szCs w:val="24"/>
        </w:rPr>
        <w:t xml:space="preserve"> Start Date) future Operating Environment; </w:t>
      </w:r>
    </w:p>
    <w:p w14:paraId="09A4A8A2"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09A4A8A3"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09A4A8A4"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w:t>
      </w:r>
      <w:r>
        <w:rPr>
          <w:rFonts w:ascii="Arial" w:eastAsia="Arial" w:hAnsi="Arial" w:cs="Arial"/>
          <w:color w:val="000000"/>
          <w:sz w:val="24"/>
          <w:szCs w:val="24"/>
        </w:rPr>
        <w:t>ng contracts (including any licences, support, maintenance and other contracts relating to the Operating Environment) referred to in the Due Diligence Information which may be novated to, assigned to or managed by the Supplier under this Contract and/or wh</w:t>
      </w:r>
      <w:r>
        <w:rPr>
          <w:rFonts w:ascii="Arial" w:eastAsia="Arial" w:hAnsi="Arial" w:cs="Arial"/>
          <w:color w:val="000000"/>
          <w:sz w:val="24"/>
          <w:szCs w:val="24"/>
        </w:rPr>
        <w:t xml:space="preserve">ich the </w:t>
      </w:r>
      <w:r>
        <w:rPr>
          <w:rFonts w:ascii="Arial" w:eastAsia="Arial" w:hAnsi="Arial" w:cs="Arial"/>
          <w:color w:val="000000"/>
          <w:sz w:val="24"/>
          <w:szCs w:val="24"/>
        </w:rPr>
        <w:lastRenderedPageBreak/>
        <w:t>Supplier will require the benefit of for the provision of the Deliverables.</w:t>
      </w:r>
    </w:p>
    <w:p w14:paraId="09A4A8A5" w14:textId="77777777" w:rsidR="00F03464" w:rsidRDefault="00C331D2">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9A4A8A6"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09A4A8A7"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09A4A8A8"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09A4A8A9" w14:textId="77777777" w:rsidR="00F03464" w:rsidRDefault="00C331D2">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9A4A8AA"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The Supplier represents and warrants that:</w:t>
      </w:r>
    </w:p>
    <w:p w14:paraId="09A4A8AB" w14:textId="77777777" w:rsidR="00F03464" w:rsidRDefault="00C331D2">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w:t>
      </w:r>
      <w:r>
        <w:rPr>
          <w:rFonts w:ascii="Arial" w:eastAsia="Arial" w:hAnsi="Arial" w:cs="Arial"/>
          <w:color w:val="000000"/>
          <w:sz w:val="24"/>
          <w:szCs w:val="24"/>
        </w:rPr>
        <w:t>r’s obligations under this Contract including the receipt of the Deliverables by the Buyer;</w:t>
      </w:r>
    </w:p>
    <w:p w14:paraId="09A4A8AC"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09A4A8AD"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9A4A8AE"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09A4A8AF" w14:textId="77777777" w:rsidR="00F03464" w:rsidRDefault="00C331D2">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09A4A8B0" w14:textId="77777777" w:rsidR="00F03464" w:rsidRDefault="00C331D2">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09A4A8B1" w14:textId="77777777" w:rsidR="00F03464" w:rsidRDefault="00C331D2">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9A4A8B2" w14:textId="77777777" w:rsidR="00F03464" w:rsidRDefault="00C331D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09A4A8B3" w14:textId="77777777" w:rsidR="00F03464" w:rsidRDefault="00C331D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09A4A8B4" w14:textId="77777777" w:rsidR="00F03464" w:rsidRDefault="00C331D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09A4A8B5" w14:textId="77777777" w:rsidR="00F03464" w:rsidRDefault="00C331D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09A4A8B6" w14:textId="79A0D030" w:rsidR="00F03464" w:rsidRDefault="00C331D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bookmarkStart w:id="3" w:name="_GoBack"/>
      <w:bookmarkEnd w:id="3"/>
      <w:r>
        <w:rPr>
          <w:rFonts w:ascii="Arial" w:eastAsia="Arial" w:hAnsi="Arial" w:cs="Arial"/>
          <w:color w:val="000000"/>
          <w:sz w:val="24"/>
          <w:szCs w:val="24"/>
        </w:rPr>
        <w:t>Environment and</w:t>
      </w:r>
      <w:r>
        <w:rPr>
          <w:rFonts w:ascii="Arial" w:eastAsia="Arial" w:hAnsi="Arial" w:cs="Arial"/>
          <w:color w:val="000000"/>
          <w:sz w:val="24"/>
          <w:szCs w:val="24"/>
        </w:rPr>
        <w:t>/or the Buyer's operations when providing the Deliverables;</w:t>
      </w:r>
    </w:p>
    <w:p w14:paraId="09A4A8B7" w14:textId="77777777" w:rsidR="00F03464" w:rsidRDefault="00C331D2">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Standards and Quality Requirement</w:t>
      </w:r>
      <w:r>
        <w:rPr>
          <w:rFonts w:ascii="Arial Bold" w:eastAsia="Arial Bold" w:hAnsi="Arial Bold" w:cs="Arial Bold"/>
          <w:b/>
          <w:color w:val="000000"/>
          <w:sz w:val="24"/>
          <w:szCs w:val="24"/>
        </w:rPr>
        <w:t>s</w:t>
      </w:r>
    </w:p>
    <w:p w14:paraId="09A4A8B8"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ascii="Arial" w:eastAsia="Arial" w:hAnsi="Arial" w:cs="Arial"/>
          <w:color w:val="000000"/>
          <w:sz w:val="24"/>
          <w:szCs w:val="24"/>
        </w:rPr>
        <w:t>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9A4A8B9"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w:t>
      </w:r>
      <w:r>
        <w:rPr>
          <w:rFonts w:ascii="Arial" w:eastAsia="Arial" w:hAnsi="Arial" w:cs="Arial"/>
          <w:color w:val="000000"/>
          <w:sz w:val="24"/>
          <w:szCs w:val="24"/>
        </w:rPr>
        <w:t>y Plans and shall not relieve the Supplier of its responsibility for ensuring that the Deliverables are provided to the standard required by this Contract.</w:t>
      </w:r>
    </w:p>
    <w:p w14:paraId="09A4A8BA"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w:t>
      </w:r>
      <w:r>
        <w:rPr>
          <w:rFonts w:ascii="Arial" w:eastAsia="Arial" w:hAnsi="Arial" w:cs="Arial"/>
          <w:color w:val="000000"/>
          <w:sz w:val="24"/>
          <w:szCs w:val="24"/>
        </w:rPr>
        <w:t>ce with the Quality Plans.</w:t>
      </w:r>
    </w:p>
    <w:p w14:paraId="09A4A8BB"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09A4A8BC" w14:textId="77777777" w:rsidR="00F03464" w:rsidRDefault="00C331D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09A4A8BD" w14:textId="77777777" w:rsidR="00F03464" w:rsidRDefault="00C331D2">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apply </w:t>
      </w:r>
      <w:r>
        <w:rPr>
          <w:rFonts w:ascii="Arial" w:eastAsia="Arial" w:hAnsi="Arial" w:cs="Arial"/>
          <w:color w:val="000000"/>
          <w:sz w:val="24"/>
          <w:szCs w:val="24"/>
        </w:rPr>
        <w:t>all due skill, care, diligence in faithfully performing those duties and exercising such powers as necessary in connection with the provision of the Deliverables; and</w:t>
      </w:r>
    </w:p>
    <w:p w14:paraId="09A4A8BE" w14:textId="77777777" w:rsidR="00F03464" w:rsidRDefault="00C331D2">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09A4A8BF" w14:textId="77777777" w:rsidR="00F03464" w:rsidRDefault="00C331D2">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9A4A8C0" w14:textId="77777777" w:rsidR="00F03464" w:rsidRDefault="00C331D2">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09A4A8C1"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09A4A8C2"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w:t>
      </w:r>
      <w:r>
        <w:rPr>
          <w:rFonts w:ascii="Arial" w:eastAsia="Arial" w:hAnsi="Arial" w:cs="Arial"/>
          <w:color w:val="000000"/>
          <w:sz w:val="24"/>
          <w:szCs w:val="24"/>
        </w:rPr>
        <w:t>re-operational environment such as information relating to Testing;</w:t>
      </w:r>
    </w:p>
    <w:p w14:paraId="09A4A8C3" w14:textId="77777777" w:rsidR="00F03464" w:rsidRDefault="00C331D2">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09A4A8C4" w14:textId="77777777" w:rsidR="00F03464" w:rsidRDefault="00C331D2">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09A4A8C5" w14:textId="77777777" w:rsidR="00F03464" w:rsidRDefault="00C331D2">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14:paraId="09A4A8C6" w14:textId="77777777" w:rsidR="00F03464" w:rsidRDefault="00C331D2">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09A4A8C7" w14:textId="77777777" w:rsidR="00F03464" w:rsidRDefault="00C331D2">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14:paraId="09A4A8C8" w14:textId="77777777" w:rsidR="00F03464" w:rsidRDefault="00C331D2">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14:paraId="09A4A8C9" w14:textId="77777777" w:rsidR="00F03464" w:rsidRDefault="00C331D2">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09A4A8CA"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14:paraId="09A4A8CB"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09A4A8CC"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Documentation, Source Code and the Object Code of the Specially Written Software; and</w:t>
      </w:r>
    </w:p>
    <w:p w14:paraId="09A4A8CD"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9A4A8CE"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9A4A8CF"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09A4A8D0"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14:paraId="09A4A8D1"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 xml:space="preserve">hird Party IPRs which are embedded or which are an integral part of the Specially Written Software or New IPR and the Supplier hereby grants to the Buyer and shall procure that </w:t>
      </w:r>
      <w:r>
        <w:rPr>
          <w:rFonts w:ascii="Arial" w:eastAsia="Arial" w:hAnsi="Arial" w:cs="Arial"/>
          <w:color w:val="000000"/>
          <w:sz w:val="24"/>
          <w:szCs w:val="24"/>
        </w:rPr>
        <w:lastRenderedPageBreak/>
        <w:t>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14:paraId="09A4A8D2"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09A4A8D3"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17dp8vu" w:colFirst="0" w:colLast="0"/>
      <w:bookmarkEnd w:id="11"/>
      <w:r>
        <w:rPr>
          <w:rFonts w:ascii="Arial" w:eastAsia="Arial" w:hAnsi="Arial" w:cs="Arial"/>
          <w:b/>
          <w:color w:val="000000"/>
          <w:sz w:val="24"/>
          <w:szCs w:val="24"/>
        </w:rPr>
        <w:t>Licences for non-COTS IPR from the Supplier and third parties to the Buyer</w:t>
      </w:r>
    </w:p>
    <w:p w14:paraId="09A4A8D4"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09A4A8D5" w14:textId="77777777" w:rsidR="00F03464" w:rsidRDefault="00C331D2">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9A4A8D6" w14:textId="77777777" w:rsidR="00F03464" w:rsidRDefault="00C331D2">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9A4A8D7"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w:t>
      </w:r>
      <w:r>
        <w:rPr>
          <w:rFonts w:ascii="Arial" w:eastAsia="Arial" w:hAnsi="Arial" w:cs="Arial"/>
          <w:color w:val="000000"/>
          <w:sz w:val="24"/>
          <w:szCs w:val="24"/>
        </w:rPr>
        <w:t xml:space="preserve">verables (or substantially equivalent deliverables) or for any purpose relating to the exercise of the Buyer’s (or, if the Buyer is a Central Government Body, any other Central Government Body’s) business or function including  the right to load, execute, </w:t>
      </w:r>
      <w:r>
        <w:rPr>
          <w:rFonts w:ascii="Arial" w:eastAsia="Arial" w:hAnsi="Arial" w:cs="Arial"/>
          <w:color w:val="000000"/>
          <w:sz w:val="24"/>
          <w:szCs w:val="24"/>
        </w:rPr>
        <w:t>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w:t>
      </w:r>
      <w:r>
        <w:rPr>
          <w:rFonts w:ascii="Arial" w:eastAsia="Arial" w:hAnsi="Arial" w:cs="Arial"/>
          <w:color w:val="000000"/>
          <w:sz w:val="24"/>
          <w:szCs w:val="24"/>
        </w:rPr>
        <w:t>d an effective transition of Services to a Replacement Supplier.</w:t>
      </w:r>
    </w:p>
    <w:p w14:paraId="09A4A8D8"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14:paraId="09A4A8D9"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14:paraId="09A4A8DA"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09A4A8DB"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14:paraId="09A4A8DC"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may terminate a licence granted under paragraph 9.2.1 by giving at least thirty (30) days’ notice in writing if there is an Autho</w:t>
      </w:r>
      <w:r>
        <w:rPr>
          <w:rFonts w:ascii="Arial" w:eastAsia="Arial" w:hAnsi="Arial" w:cs="Arial"/>
          <w:color w:val="000000"/>
          <w:sz w:val="24"/>
          <w:szCs w:val="24"/>
        </w:rPr>
        <w:t xml:space="preserve">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14:paraId="09A4A8DD"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35nkun2" w:colFirst="0" w:colLast="0"/>
      <w:bookmarkEnd w:id="15"/>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14:paraId="09A4A8DE"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14:paraId="09A4A8DF"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9A4A8E0"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14:paraId="09A4A8E1" w14:textId="77777777" w:rsidR="00F03464" w:rsidRDefault="00C331D2">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9A4A8E2"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14:paraId="09A4A8E3"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09A4A8E4"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09A4A8E5"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09A4A8E6"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9A4A8E7"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09A4A8E8"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09A4A8E9" w14:textId="77777777" w:rsidR="00F03464" w:rsidRDefault="00C331D2">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2jxsxqh" w:colFirst="0" w:colLast="0"/>
      <w:bookmarkEnd w:id="18"/>
      <w:r>
        <w:rPr>
          <w:rFonts w:ascii="Arial" w:eastAsia="Arial" w:hAnsi="Arial" w:cs="Arial"/>
          <w:b/>
          <w:color w:val="000000"/>
          <w:sz w:val="24"/>
          <w:szCs w:val="24"/>
        </w:rPr>
        <w:t>Licence granted by the Buyer</w:t>
      </w:r>
    </w:p>
    <w:p w14:paraId="09A4A8EA"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The Buyer grants to the Supplier a royalty-free, non-exclusive, non-transferable licence during the Contract Period to use the Buyer </w:t>
      </w:r>
      <w:r>
        <w:rPr>
          <w:rFonts w:ascii="Arial" w:eastAsia="Arial" w:hAnsi="Arial" w:cs="Arial"/>
          <w:color w:val="000000"/>
          <w:sz w:val="24"/>
          <w:szCs w:val="24"/>
        </w:rPr>
        <w:lastRenderedPageBreak/>
        <w:t>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16 (What you must keep confidential).</w:t>
      </w:r>
    </w:p>
    <w:p w14:paraId="09A4A8EB"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3j2qqm3" w:colFirst="0" w:colLast="0"/>
      <w:bookmarkEnd w:id="20"/>
      <w:r>
        <w:rPr>
          <w:rFonts w:ascii="Arial" w:eastAsia="Arial" w:hAnsi="Arial" w:cs="Arial"/>
          <w:b/>
          <w:color w:val="000000"/>
          <w:sz w:val="24"/>
          <w:szCs w:val="24"/>
        </w:rPr>
        <w:t>Open Source Publication</w:t>
      </w:r>
    </w:p>
    <w:p w14:paraId="09A4A8EC"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09A4A8ED"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09A4A8EE"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09A4A8EF" w14:textId="77777777" w:rsidR="00F03464" w:rsidRDefault="00C331D2">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and the Buyer may, at its sole discretion, publish the same as Open Source.</w:t>
      </w:r>
    </w:p>
    <w:p w14:paraId="09A4A8F0" w14:textId="77777777" w:rsidR="00F03464" w:rsidRDefault="00C331D2">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The Supplier hereby warrants that the Specially Written Software and the New IPR:</w:t>
      </w:r>
    </w:p>
    <w:p w14:paraId="09A4A8F1" w14:textId="77777777" w:rsidR="00F03464" w:rsidRDefault="00C331D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14:paraId="09A4A8F2" w14:textId="77777777" w:rsidR="00F03464" w:rsidRDefault="00C331D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14:paraId="09A4A8F3" w14:textId="77777777" w:rsidR="00F03464" w:rsidRDefault="00C331D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09A4A8F4" w14:textId="77777777" w:rsidR="00F03464" w:rsidRDefault="00C331D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09A4A8F5" w14:textId="77777777" w:rsidR="00F03464" w:rsidRDefault="00C331D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09A4A8F6" w14:textId="77777777" w:rsidR="00F03464" w:rsidRDefault="00C331D2">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09A4A8F7"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 xml:space="preserve">ird Party IPRs </w:t>
      </w:r>
      <w:r>
        <w:rPr>
          <w:rFonts w:ascii="Arial" w:eastAsia="Arial" w:hAnsi="Arial" w:cs="Arial"/>
          <w:color w:val="000000"/>
          <w:sz w:val="24"/>
          <w:szCs w:val="24"/>
        </w:rPr>
        <w:lastRenderedPageBreak/>
        <w:t>(and where the Parties agree that such IPRs are not intended to be published as Open Source), the Supplier shall:</w:t>
      </w:r>
    </w:p>
    <w:p w14:paraId="09A4A8F8"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14:paraId="09A4A8F9" w14:textId="77777777" w:rsidR="00F03464" w:rsidRDefault="00C331D2">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09A4A8FA" w14:textId="77777777" w:rsidR="00F03464" w:rsidRDefault="00C331D2">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09A4A8FB"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Software.</w:t>
      </w:r>
    </w:p>
    <w:p w14:paraId="09A4A8FC"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If Malicious Software is found, the Parties shall co-operate to reduce the effect o</w:t>
      </w:r>
      <w:r>
        <w:rPr>
          <w:rFonts w:ascii="Arial" w:eastAsia="Arial" w:hAnsi="Arial" w:cs="Arial"/>
          <w:color w:val="000000"/>
          <w:sz w:val="24"/>
          <w:szCs w:val="24"/>
        </w:rPr>
        <w:t>f the Malicious Software and, particularly if Malicious Software causes loss of operational efficiency or loss or corruption of Government Data, assist each other to mitigate any losses and to restore the provision of the Deliverables to its desired operat</w:t>
      </w:r>
      <w:r>
        <w:rPr>
          <w:rFonts w:ascii="Arial" w:eastAsia="Arial" w:hAnsi="Arial" w:cs="Arial"/>
          <w:color w:val="000000"/>
          <w:sz w:val="24"/>
          <w:szCs w:val="24"/>
        </w:rPr>
        <w:t>ing efficiency.</w:t>
      </w:r>
    </w:p>
    <w:p w14:paraId="09A4A8FD" w14:textId="77777777" w:rsidR="00F03464" w:rsidRDefault="00C331D2">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09A4A8FE"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w:t>
      </w:r>
      <w:r>
        <w:rPr>
          <w:rFonts w:ascii="Arial" w:eastAsia="Arial" w:hAnsi="Arial" w:cs="Arial"/>
          <w:color w:val="000000"/>
          <w:sz w:val="24"/>
          <w:szCs w:val="24"/>
        </w:rPr>
        <w:t>d by the Buyer when provided to the Supplier; and</w:t>
      </w:r>
    </w:p>
    <w:p w14:paraId="09A4A8FF" w14:textId="77777777" w:rsidR="00F03464" w:rsidRDefault="00C331D2">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by the Buyer, if the Malicious Software originates from the Buyer Software or the Buyer Data (whilst the Buyer Data was under the control of the Buyer).</w:t>
      </w:r>
    </w:p>
    <w:sectPr w:rsidR="00F03464">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4A914" w14:textId="77777777" w:rsidR="00000000" w:rsidRDefault="00C331D2">
      <w:pPr>
        <w:spacing w:after="0" w:line="240" w:lineRule="auto"/>
      </w:pPr>
      <w:r>
        <w:separator/>
      </w:r>
    </w:p>
  </w:endnote>
  <w:endnote w:type="continuationSeparator" w:id="0">
    <w:p w14:paraId="09A4A916" w14:textId="77777777" w:rsidR="00000000" w:rsidRDefault="00C33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905" w14:textId="77777777" w:rsidR="00F03464" w:rsidRDefault="00F03464">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906" w14:textId="77777777" w:rsidR="00F03464" w:rsidRDefault="00F0346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09A4A907" w14:textId="77777777" w:rsidR="00F03464" w:rsidRDefault="00C331D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Ref:6181</w:t>
    </w:r>
  </w:p>
  <w:p w14:paraId="09A4A908" w14:textId="25FA039B" w:rsidR="00F03464" w:rsidRDefault="00C331D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9A4A909" w14:textId="77777777" w:rsidR="00F03464" w:rsidRDefault="00C331D2">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90C" w14:textId="77777777" w:rsidR="00F03464" w:rsidRDefault="00F0346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09A4A90D" w14:textId="77777777" w:rsidR="00F03464" w:rsidRDefault="00C331D2">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r>
    <w:r>
      <w:rPr>
        <w:rFonts w:ascii="Calibri" w:eastAsia="Calibri" w:hAnsi="Calibri" w:cs="Calibri"/>
        <w:color w:val="A6A6A6"/>
      </w:rPr>
      <w:t xml:space="preserve">                                           </w:t>
    </w:r>
  </w:p>
  <w:p w14:paraId="09A4A90E" w14:textId="77777777" w:rsidR="00F03464" w:rsidRDefault="00C331D2">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09A4A90F" w14:textId="77777777" w:rsidR="00F03464" w:rsidRDefault="00C331D2">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4A910" w14:textId="77777777" w:rsidR="00000000" w:rsidRDefault="00C331D2">
      <w:pPr>
        <w:spacing w:after="0" w:line="240" w:lineRule="auto"/>
      </w:pPr>
      <w:r>
        <w:separator/>
      </w:r>
    </w:p>
  </w:footnote>
  <w:footnote w:type="continuationSeparator" w:id="0">
    <w:p w14:paraId="09A4A912" w14:textId="77777777" w:rsidR="00000000" w:rsidRDefault="00C33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900" w14:textId="77777777" w:rsidR="00F03464" w:rsidRDefault="00F03464">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901" w14:textId="77777777" w:rsidR="00F03464" w:rsidRDefault="00C331D2">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09A4A902" w14:textId="77777777" w:rsidR="00F03464" w:rsidRDefault="00C331D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r>
      <w:t xml:space="preserve"> </w:t>
    </w:r>
    <w:r>
      <w:rPr>
        <w:rFonts w:ascii="Arial" w:eastAsia="Arial" w:hAnsi="Arial" w:cs="Arial"/>
        <w:sz w:val="20"/>
        <w:szCs w:val="20"/>
      </w:rPr>
      <w:t>CCBP22A02</w:t>
    </w:r>
  </w:p>
  <w:p w14:paraId="09A4A903" w14:textId="77777777" w:rsidR="00F03464" w:rsidRDefault="00C331D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14:paraId="09A4A904" w14:textId="77777777" w:rsidR="00F03464" w:rsidRDefault="00F03464">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90A" w14:textId="77777777" w:rsidR="00F03464" w:rsidRDefault="00F03464">
    <w:pPr>
      <w:tabs>
        <w:tab w:val="center" w:pos="4513"/>
        <w:tab w:val="right" w:pos="9026"/>
      </w:tabs>
      <w:spacing w:after="0" w:line="240" w:lineRule="auto"/>
      <w:rPr>
        <w:rFonts w:ascii="Calibri" w:eastAsia="Calibri" w:hAnsi="Calibri" w:cs="Calibri"/>
      </w:rPr>
    </w:pPr>
  </w:p>
  <w:p w14:paraId="09A4A90B" w14:textId="77777777" w:rsidR="00F03464" w:rsidRDefault="00F03464">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902AF"/>
    <w:multiLevelType w:val="multilevel"/>
    <w:tmpl w:val="3C66A7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8F3616E"/>
    <w:multiLevelType w:val="multilevel"/>
    <w:tmpl w:val="0EF2B438"/>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4DAB6CEE"/>
    <w:multiLevelType w:val="multilevel"/>
    <w:tmpl w:val="8B8CEF9C"/>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CB73253"/>
    <w:multiLevelType w:val="multilevel"/>
    <w:tmpl w:val="9D6CC1FC"/>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 w15:restartNumberingAfterBreak="0">
    <w:nsid w:val="68D873E3"/>
    <w:multiLevelType w:val="multilevel"/>
    <w:tmpl w:val="2F46DD18"/>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4"/>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464"/>
    <w:rsid w:val="00C331D2"/>
    <w:rsid w:val="00F034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4A84C"/>
  <w15:docId w15:val="{B0580012-1307-4355-8264-B8B260B9C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1NvpqE5qRBOX7eBfrGJAwoEhizw==">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3362</Words>
  <Characters>19168</Characters>
  <Application>Microsoft Office Word</Application>
  <DocSecurity>0</DocSecurity>
  <Lines>159</Lines>
  <Paragraphs>44</Paragraphs>
  <ScaleCrop>false</ScaleCrop>
  <Company/>
  <LinksUpToDate>false</LinksUpToDate>
  <CharactersWithSpaces>22486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Victoria James</cp:lastModifiedBy>
  <cp:revision>2</cp:revision>
  <dcterms:created xsi:type="dcterms:W3CDTF">2021-01-21T10:29:00Z</dcterms:created>
  <dcterms:modified xsi:type="dcterms:W3CDTF">2023-03-14T14:18:00Z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